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354EE" w14:textId="58BD987B" w:rsidR="00F65C78" w:rsidRPr="00163ABB" w:rsidRDefault="008D7235" w:rsidP="005E2F44">
      <w:pPr>
        <w:keepNext/>
        <w:spacing w:after="180"/>
        <w:textAlignment w:val="baseline"/>
        <w:rPr>
          <w:rFonts w:ascii="Helvetica LT Pro" w:hAnsi="Helvetica LT Pro" w:cstheme="minorHAnsi"/>
          <w:b/>
          <w:bCs/>
          <w:color w:val="2E74B5" w:themeColor="accent5" w:themeShade="BF"/>
          <w:position w:val="-5"/>
          <w:sz w:val="60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</w:pPr>
      <w:r w:rsidRPr="00163ABB">
        <w:rPr>
          <w:rFonts w:ascii="Helvetica LT Pro" w:hAnsi="Helvetica LT Pro" w:cstheme="minorHAnsi"/>
          <w:b/>
          <w:bCs/>
          <w:color w:val="2E74B5" w:themeColor="accent5" w:themeShade="BF"/>
          <w:position w:val="-5"/>
          <w:sz w:val="60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Planning Unit</w:t>
      </w:r>
      <w:r w:rsidR="003508AC" w:rsidRPr="00163ABB">
        <w:rPr>
          <w:rFonts w:ascii="Helvetica LT Pro" w:hAnsi="Helvetica LT Pro" w:cstheme="minorHAnsi"/>
          <w:b/>
          <w:bCs/>
          <w:color w:val="2E74B5" w:themeColor="accent5" w:themeShade="BF"/>
          <w:position w:val="-5"/>
          <w:sz w:val="60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 xml:space="preserve"> </w:t>
      </w:r>
      <w:r w:rsidR="00163ABB" w:rsidRPr="00163ABB">
        <w:rPr>
          <w:rFonts w:ascii="Helvetica LT Pro" w:hAnsi="Helvetica LT Pro" w:cstheme="minorHAnsi"/>
          <w:b/>
          <w:bCs/>
          <w:color w:val="2E74B5" w:themeColor="accent5" w:themeShade="BF"/>
          <w:position w:val="-5"/>
          <w:sz w:val="60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3</w:t>
      </w:r>
      <w:r w:rsidR="003508AC" w:rsidRPr="00163ABB">
        <w:rPr>
          <w:rFonts w:ascii="Helvetica LT Pro" w:hAnsi="Helvetica LT Pro" w:cstheme="minorHAnsi"/>
          <w:b/>
          <w:bCs/>
          <w:color w:val="2E74B5" w:themeColor="accent5" w:themeShade="BF"/>
          <w:position w:val="-5"/>
          <w:sz w:val="60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 xml:space="preserve">: </w:t>
      </w:r>
      <w:r w:rsidR="00163ABB" w:rsidRPr="00163ABB">
        <w:rPr>
          <w:rFonts w:ascii="Helvetica LT Pro" w:hAnsi="Helvetica LT Pro" w:cstheme="minorHAnsi"/>
          <w:b/>
          <w:bCs/>
          <w:color w:val="2E74B5" w:themeColor="accent5" w:themeShade="BF"/>
          <w:position w:val="-5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L</w:t>
      </w:r>
      <w:r w:rsidR="00192A83" w:rsidRPr="00163ABB">
        <w:rPr>
          <w:rFonts w:ascii="Helvetica LT Pro" w:hAnsi="Helvetica LT Pro" w:cstheme="minorHAnsi"/>
          <w:b/>
          <w:bCs/>
          <w:color w:val="2E74B5" w:themeColor="accent5" w:themeShade="BF"/>
          <w:position w:val="-5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o</w:t>
      </w:r>
      <w:r w:rsidR="00163ABB" w:rsidRPr="00163ABB">
        <w:rPr>
          <w:rFonts w:ascii="Helvetica LT Pro" w:hAnsi="Helvetica LT Pro" w:cstheme="minorHAnsi"/>
          <w:b/>
          <w:bCs/>
          <w:color w:val="2E74B5" w:themeColor="accent5" w:themeShade="BF"/>
          <w:position w:val="-5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nger Fiction or Drama</w:t>
      </w:r>
    </w:p>
    <w:p w14:paraId="1EAE5A22" w14:textId="77777777" w:rsidR="00F65C78" w:rsidRPr="00283855" w:rsidRDefault="00F65C78">
      <w:pPr>
        <w:rPr>
          <w:color w:val="FFFFFF" w:themeColor="background1"/>
        </w:rPr>
      </w:pPr>
      <w:r w:rsidRPr="00283855">
        <w:rPr>
          <w:rFonts w:ascii="Helvetica LT Pro" w:hAnsi="Helvetica LT Pro" w:cstheme="minorHAnsi"/>
          <w:b/>
          <w:bCs/>
          <w:color w:val="FFFFFF" w:themeColor="background1"/>
          <w:position w:val="-5"/>
          <w:sz w:val="60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ab/>
      </w: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720"/>
        <w:gridCol w:w="8640"/>
      </w:tblGrid>
      <w:tr w:rsidR="00F65C78" w:rsidRPr="00F65C78" w14:paraId="3316C6DA" w14:textId="77777777" w:rsidTr="00B670B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05D165B" w14:textId="6E3309AA" w:rsidR="00F65C78" w:rsidRPr="00163ABB" w:rsidRDefault="00F65C78" w:rsidP="00B670B1">
            <w:pPr>
              <w:rPr>
                <w:rFonts w:ascii="Helvetica LT Pro" w:hAnsi="Helvetica LT Pro"/>
                <w:b/>
                <w:bCs/>
                <w:color w:val="2E74B5" w:themeColor="accent5" w:themeShade="BF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</w:pPr>
            <w:r w:rsidRPr="00163ABB">
              <w:rPr>
                <w:rFonts w:ascii="Helvetica LT Pro" w:hAnsi="Helvetica LT Pro" w:cstheme="minorHAnsi"/>
                <w:b/>
                <w:bCs/>
                <w:color w:val="2E74B5" w:themeColor="accent5" w:themeShade="BF"/>
                <w:position w:val="-5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warmMatte">
                  <w14:bevelT w14:w="38100" w14:h="38100" w14:prst="circle"/>
                </w14:props3d>
              </w:rPr>
              <w:t>1</w:t>
            </w:r>
          </w:p>
        </w:tc>
        <w:tc>
          <w:tcPr>
            <w:tcW w:w="864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E2F993E" w14:textId="1230DC60" w:rsidR="00F65C78" w:rsidRPr="00192A83" w:rsidRDefault="00F65C78" w:rsidP="00B670B1">
            <w:pPr>
              <w:spacing w:after="360"/>
              <w:rPr>
                <w:sz w:val="24"/>
                <w:szCs w:val="24"/>
                <w14:ligatures w14:val="standardContextual"/>
                <w14:numForm w14:val="oldStyle"/>
              </w:rPr>
            </w:pP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Write down a draft of your course goals—what you want for your students “at the end of the day</w:t>
            </w:r>
            <w:r w:rsidR="005E2F44" w:rsidRPr="00192A83">
              <w:rPr>
                <w:sz w:val="24"/>
                <w:szCs w:val="24"/>
                <w14:ligatures w14:val="standardContextual"/>
                <w14:numForm w14:val="oldStyle"/>
              </w:rPr>
              <w:t>,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” and ten years from now</w:t>
            </w:r>
            <w:r w:rsidR="005E2F44" w:rsidRPr="00192A83">
              <w:rPr>
                <w:sz w:val="24"/>
                <w:szCs w:val="24"/>
                <w14:ligatures w14:val="standardContextual"/>
                <w14:numForm w14:val="oldStyle"/>
              </w:rPr>
              <w:t>.</w:t>
            </w:r>
          </w:p>
        </w:tc>
      </w:tr>
      <w:tr w:rsidR="00F65C78" w:rsidRPr="00F65C78" w14:paraId="7A0550CD" w14:textId="77777777" w:rsidTr="00B670B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BD75F42" w14:textId="3706A27D" w:rsidR="00F65C78" w:rsidRPr="00163ABB" w:rsidRDefault="00F65C78" w:rsidP="00B670B1">
            <w:pPr>
              <w:rPr>
                <w:rFonts w:ascii="Helvetica LT Pro" w:hAnsi="Helvetica LT Pro"/>
                <w:b/>
                <w:bCs/>
                <w:color w:val="2E74B5" w:themeColor="accent5" w:themeShade="BF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</w:pPr>
            <w:r w:rsidRPr="00163ABB">
              <w:rPr>
                <w:rFonts w:ascii="Helvetica LT Pro" w:hAnsi="Helvetica LT Pro"/>
                <w:b/>
                <w:bCs/>
                <w:color w:val="2E74B5" w:themeColor="accent5" w:themeShade="BF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  <w:t>2</w:t>
            </w:r>
          </w:p>
        </w:tc>
        <w:tc>
          <w:tcPr>
            <w:tcW w:w="864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06E1415" w14:textId="43159E10" w:rsidR="00F65C78" w:rsidRPr="00192A83" w:rsidRDefault="00F65C78" w:rsidP="00B670B1">
            <w:pPr>
              <w:spacing w:after="360"/>
              <w:rPr>
                <w:sz w:val="24"/>
                <w:szCs w:val="24"/>
                <w14:ligatures w14:val="standardContextual"/>
                <w14:numForm w14:val="oldStyle"/>
              </w:rPr>
            </w:pP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Review Unit </w:t>
            </w:r>
            <w:r w:rsidR="00163ABB">
              <w:rPr>
                <w:sz w:val="24"/>
                <w:szCs w:val="24"/>
                <w14:ligatures w14:val="standardContextual"/>
                <w14:numForm w14:val="oldStyle"/>
              </w:rPr>
              <w:t>3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on pages </w:t>
            </w:r>
            <w:r w:rsidR="00192A83" w:rsidRPr="00192A83">
              <w:rPr>
                <w:sz w:val="24"/>
                <w:szCs w:val="24"/>
                <w14:ligatures w14:val="standardContextual"/>
                <w14:numForm w14:val="oldStyle"/>
              </w:rPr>
              <w:t>4</w:t>
            </w:r>
            <w:r w:rsidR="00163ABB">
              <w:rPr>
                <w:sz w:val="24"/>
                <w:szCs w:val="24"/>
                <w14:ligatures w14:val="standardContextual"/>
                <w14:numForm w14:val="oldStyle"/>
              </w:rPr>
              <w:t>9-52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in the Course and Exam Description and identify the Enduring Understandings where you want your focus. The </w:t>
            </w:r>
            <w:proofErr w:type="spellStart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CED</w:t>
            </w:r>
            <w:proofErr w:type="spellEnd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lists </w:t>
            </w:r>
            <w:r w:rsidR="00163ABB">
              <w:rPr>
                <w:sz w:val="24"/>
                <w:szCs w:val="24"/>
                <w14:ligatures w14:val="standardContextual"/>
                <w14:numForm w14:val="oldStyle"/>
              </w:rPr>
              <w:t>five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, but you’re free to use any of those or of your own.</w:t>
            </w:r>
          </w:p>
        </w:tc>
      </w:tr>
      <w:tr w:rsidR="00F65C78" w:rsidRPr="00F65C78" w14:paraId="5BF51109" w14:textId="77777777" w:rsidTr="00B670B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8F9CD3F" w14:textId="14946643" w:rsidR="00F65C78" w:rsidRPr="00163ABB" w:rsidRDefault="00F65C78" w:rsidP="00B670B1">
            <w:pPr>
              <w:rPr>
                <w:rFonts w:ascii="Helvetica LT Pro" w:hAnsi="Helvetica LT Pro"/>
                <w:b/>
                <w:bCs/>
                <w:color w:val="2E74B5" w:themeColor="accent5" w:themeShade="BF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</w:pPr>
            <w:r w:rsidRPr="00163ABB">
              <w:rPr>
                <w:rFonts w:ascii="Helvetica LT Pro" w:hAnsi="Helvetica LT Pro"/>
                <w:b/>
                <w:bCs/>
                <w:color w:val="2E74B5" w:themeColor="accent5" w:themeShade="BF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  <w:t>3</w:t>
            </w:r>
          </w:p>
        </w:tc>
        <w:tc>
          <w:tcPr>
            <w:tcW w:w="864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243BEA1" w14:textId="5CC5A576" w:rsidR="00F65C78" w:rsidRPr="00192A83" w:rsidRDefault="00F65C78" w:rsidP="00B670B1">
            <w:pPr>
              <w:spacing w:after="360"/>
              <w:rPr>
                <w:sz w:val="24"/>
                <w:szCs w:val="24"/>
                <w14:ligatures w14:val="standardContextual"/>
                <w14:numForm w14:val="oldStyle"/>
              </w:rPr>
            </w:pP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Identify the skills you want your students develop in this unit. The </w:t>
            </w:r>
            <w:proofErr w:type="spellStart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CED</w:t>
            </w:r>
            <w:proofErr w:type="spellEnd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lists </w:t>
            </w:r>
            <w:r w:rsidR="00163ABB">
              <w:rPr>
                <w:sz w:val="24"/>
                <w:szCs w:val="24"/>
                <w14:ligatures w14:val="standardContextual"/>
                <w14:numForm w14:val="oldStyle"/>
              </w:rPr>
              <w:t>ten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, but, again, use any of those or of your own.</w:t>
            </w:r>
          </w:p>
        </w:tc>
      </w:tr>
      <w:tr w:rsidR="00F65C78" w:rsidRPr="00F65C78" w14:paraId="1EEDBA76" w14:textId="77777777" w:rsidTr="00B670B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39B6B59" w14:textId="1C23CB72" w:rsidR="00F65C78" w:rsidRPr="00163ABB" w:rsidRDefault="00F65C78" w:rsidP="00B670B1">
            <w:pPr>
              <w:rPr>
                <w:rFonts w:ascii="Helvetica LT Pro" w:hAnsi="Helvetica LT Pro"/>
                <w:b/>
                <w:bCs/>
                <w:color w:val="2E74B5" w:themeColor="accent5" w:themeShade="BF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</w:pPr>
            <w:r w:rsidRPr="00163ABB">
              <w:rPr>
                <w:rFonts w:ascii="Helvetica LT Pro" w:hAnsi="Helvetica LT Pro"/>
                <w:b/>
                <w:bCs/>
                <w:color w:val="2E74B5" w:themeColor="accent5" w:themeShade="BF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  <w:t>4</w:t>
            </w:r>
          </w:p>
        </w:tc>
        <w:tc>
          <w:tcPr>
            <w:tcW w:w="864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5C721072" w14:textId="5B5A9BD2" w:rsidR="00F65C78" w:rsidRPr="00192A83" w:rsidRDefault="00F65C78" w:rsidP="00B670B1">
            <w:pPr>
              <w:spacing w:after="360"/>
              <w:rPr>
                <w:sz w:val="24"/>
                <w:szCs w:val="24"/>
                <w14:ligatures w14:val="standardContextual"/>
                <w14:numForm w14:val="oldStyle"/>
              </w:rPr>
            </w:pP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Look at the Essential Knowledge the students need to develop for each of the skills you’ve identified. The </w:t>
            </w:r>
            <w:proofErr w:type="spellStart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CED</w:t>
            </w:r>
            <w:proofErr w:type="spellEnd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lists 2</w:t>
            </w:r>
            <w:r w:rsidR="00163ABB">
              <w:rPr>
                <w:sz w:val="24"/>
                <w:szCs w:val="24"/>
                <w14:ligatures w14:val="standardContextual"/>
                <w14:numForm w14:val="oldStyle"/>
              </w:rPr>
              <w:t>9</w:t>
            </w:r>
            <w:r w:rsidR="00192A83"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that overlap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, and, once more, select any of those or of your own.</w:t>
            </w:r>
          </w:p>
        </w:tc>
      </w:tr>
      <w:tr w:rsidR="00F65C78" w:rsidRPr="00F65C78" w14:paraId="09BBB2E5" w14:textId="77777777" w:rsidTr="00B670B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116FA90" w14:textId="2440833F" w:rsidR="00F65C78" w:rsidRPr="00163ABB" w:rsidRDefault="00F65C78" w:rsidP="00B670B1">
            <w:pPr>
              <w:rPr>
                <w:rFonts w:ascii="Helvetica LT Pro" w:hAnsi="Helvetica LT Pro"/>
                <w:b/>
                <w:bCs/>
                <w:color w:val="2E74B5" w:themeColor="accent5" w:themeShade="BF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</w:pPr>
            <w:r w:rsidRPr="00163ABB">
              <w:rPr>
                <w:rFonts w:ascii="Helvetica LT Pro" w:hAnsi="Helvetica LT Pro"/>
                <w:b/>
                <w:bCs/>
                <w:color w:val="2E74B5" w:themeColor="accent5" w:themeShade="BF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  <w:t>5</w:t>
            </w:r>
          </w:p>
        </w:tc>
        <w:tc>
          <w:tcPr>
            <w:tcW w:w="864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09973AE9" w14:textId="1424BE9C" w:rsidR="00F65C78" w:rsidRPr="00192A83" w:rsidRDefault="00F65C78" w:rsidP="00B670B1">
            <w:pPr>
              <w:spacing w:after="360"/>
              <w:rPr>
                <w:sz w:val="24"/>
                <w:szCs w:val="24"/>
                <w14:ligatures w14:val="standardContextual"/>
                <w14:numForm w14:val="oldStyle"/>
              </w:rPr>
            </w:pP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Now that you know what you want to teach, consider a variety of tools. Fort </w:t>
            </w:r>
            <w:r w:rsidR="00652FCE" w:rsidRPr="00192A83">
              <w:rPr>
                <w:sz w:val="24"/>
                <w:szCs w:val="24"/>
                <w14:ligatures w14:val="standardContextual"/>
                <w14:numForm w14:val="oldStyle"/>
              </w:rPr>
              <w:t>t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his unit, the tools are </w:t>
            </w:r>
            <w:r w:rsidR="00163ABB">
              <w:rPr>
                <w:sz w:val="24"/>
                <w:szCs w:val="24"/>
                <w14:ligatures w14:val="standardContextual"/>
                <w14:numForm w14:val="oldStyle"/>
              </w:rPr>
              <w:t>novels and full-length plays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. You </w:t>
            </w:r>
            <w:r w:rsidR="00192A83"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may 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want to use </w:t>
            </w:r>
            <w:r w:rsidR="00163ABB">
              <w:rPr>
                <w:sz w:val="24"/>
                <w:szCs w:val="24"/>
                <w14:ligatures w14:val="standardContextual"/>
                <w14:numForm w14:val="oldStyle"/>
              </w:rPr>
              <w:t>one novel or one Early Modern play or two modern plays</w:t>
            </w:r>
            <w:r w:rsidR="00192A83"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to work on </w:t>
            </w:r>
            <w:r w:rsidR="00163ABB">
              <w:rPr>
                <w:sz w:val="24"/>
                <w:szCs w:val="24"/>
                <w14:ligatures w14:val="standardContextual"/>
                <w14:numForm w14:val="oldStyle"/>
              </w:rPr>
              <w:t>all the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skills.</w:t>
            </w:r>
          </w:p>
        </w:tc>
      </w:tr>
      <w:tr w:rsidR="00F65C78" w:rsidRPr="00F65C78" w14:paraId="40047BB6" w14:textId="77777777" w:rsidTr="00B670B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0CAC227" w14:textId="59F7CF84" w:rsidR="00F65C78" w:rsidRPr="00163ABB" w:rsidRDefault="00F65C78" w:rsidP="00B670B1">
            <w:pPr>
              <w:rPr>
                <w:rFonts w:ascii="Helvetica LT Pro" w:hAnsi="Helvetica LT Pro"/>
                <w:b/>
                <w:bCs/>
                <w:color w:val="2E74B5" w:themeColor="accent5" w:themeShade="BF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</w:pPr>
            <w:r w:rsidRPr="00163ABB">
              <w:rPr>
                <w:rFonts w:ascii="Helvetica LT Pro" w:hAnsi="Helvetica LT Pro"/>
                <w:b/>
                <w:bCs/>
                <w:color w:val="2E74B5" w:themeColor="accent5" w:themeShade="BF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  <w:t>6</w:t>
            </w:r>
          </w:p>
        </w:tc>
        <w:tc>
          <w:tcPr>
            <w:tcW w:w="864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7D87062A" w14:textId="53EF07DB" w:rsidR="00F65C78" w:rsidRPr="00192A83" w:rsidRDefault="00F65C78" w:rsidP="00B670B1">
            <w:pPr>
              <w:spacing w:after="360"/>
              <w:rPr>
                <w:sz w:val="24"/>
                <w:szCs w:val="24"/>
                <w14:ligatures w14:val="standardContextual"/>
                <w14:numForm w14:val="oldStyle"/>
              </w:rPr>
            </w:pP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Now plan out the unit. Use the Instructional Planning Page on page </w:t>
            </w:r>
            <w:r w:rsidR="00163ABB">
              <w:rPr>
                <w:sz w:val="24"/>
                <w:szCs w:val="24"/>
                <w14:ligatures w14:val="standardContextual"/>
                <w14:numForm w14:val="oldStyle"/>
              </w:rPr>
              <w:t>53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of the </w:t>
            </w:r>
            <w:proofErr w:type="spellStart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CED</w:t>
            </w:r>
            <w:proofErr w:type="spellEnd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or a form of your own. Link each piece of Essential Knowledge to the respective skills you want students to carry away from the unit and each skill to one of the </w:t>
            </w:r>
            <w:r w:rsidR="00192A83" w:rsidRPr="00192A83">
              <w:rPr>
                <w:sz w:val="24"/>
                <w:szCs w:val="24"/>
                <w14:ligatures w14:val="standardContextual"/>
                <w14:numForm w14:val="oldStyle"/>
              </w:rPr>
              <w:t>poems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you’ve chosen.</w:t>
            </w:r>
            <w:r w:rsidR="00163ABB">
              <w:rPr>
                <w:sz w:val="24"/>
                <w:szCs w:val="24"/>
                <w14:ligatures w14:val="standardContextual"/>
                <w14:numForm w14:val="oldStyle"/>
              </w:rPr>
              <w:t xml:space="preserve"> With works requiring extended reading outside of class, look carefully at school and community calendars when deciding where to place the unit.</w:t>
            </w:r>
          </w:p>
        </w:tc>
      </w:tr>
      <w:tr w:rsidR="00F65C78" w:rsidRPr="00F65C78" w14:paraId="60FD4E0A" w14:textId="77777777" w:rsidTr="00B670B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0ABD47" w14:textId="12E0EDAC" w:rsidR="00F65C78" w:rsidRPr="00163ABB" w:rsidRDefault="00F65C78" w:rsidP="00B670B1">
            <w:pPr>
              <w:rPr>
                <w:rFonts w:ascii="Helvetica LT Pro" w:hAnsi="Helvetica LT Pro"/>
                <w:b/>
                <w:bCs/>
                <w:color w:val="2E74B5" w:themeColor="accent5" w:themeShade="BF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</w:pPr>
            <w:r w:rsidRPr="00163ABB">
              <w:rPr>
                <w:rFonts w:ascii="Helvetica LT Pro" w:hAnsi="Helvetica LT Pro"/>
                <w:b/>
                <w:bCs/>
                <w:color w:val="2E74B5" w:themeColor="accent5" w:themeShade="BF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  <w:t>7</w:t>
            </w:r>
          </w:p>
        </w:tc>
        <w:tc>
          <w:tcPr>
            <w:tcW w:w="864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14:paraId="420BFD32" w14:textId="51F0BAE0" w:rsidR="00F65C78" w:rsidRPr="00192A83" w:rsidRDefault="00F65C78" w:rsidP="00B670B1">
            <w:pPr>
              <w:spacing w:after="360"/>
              <w:rPr>
                <w:sz w:val="24"/>
                <w:szCs w:val="24"/>
                <w14:ligatures w14:val="standardContextual"/>
                <w14:numForm w14:val="oldStyle"/>
              </w:rPr>
            </w:pP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Finally, select the instructional activities to use to teach the skills. The </w:t>
            </w:r>
            <w:proofErr w:type="spellStart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CED</w:t>
            </w:r>
            <w:proofErr w:type="spellEnd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has </w:t>
            </w:r>
            <w:r w:rsidR="00192A83" w:rsidRPr="00192A83">
              <w:rPr>
                <w:sz w:val="24"/>
                <w:szCs w:val="24"/>
                <w14:ligatures w14:val="standardContextual"/>
                <w14:numForm w14:val="oldStyle"/>
              </w:rPr>
              <w:t>five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suggestions on page </w:t>
            </w:r>
            <w:r w:rsidR="00163ABB">
              <w:rPr>
                <w:sz w:val="24"/>
                <w:szCs w:val="24"/>
                <w14:ligatures w14:val="standardContextual"/>
                <w14:numForm w14:val="oldStyle"/>
              </w:rPr>
              <w:t>54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, and the handout has a longer list. The best source for ideas is probably the store of lessons that have served you well before. Colleagues are a great source; some of our best ideas have come from elementary school teachers. The AP</w:t>
            </w:r>
            <w:r w:rsidR="00DC6A56" w:rsidRPr="00192A83">
              <w:rPr>
                <w:sz w:val="24"/>
                <w:szCs w:val="24"/>
                <w14:ligatures w14:val="standardContextual"/>
                <w14:numForm w14:val="oldStyle"/>
              </w:rPr>
              <w:t> 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Community’s </w:t>
            </w:r>
            <w:r w:rsidR="00D16ED6" w:rsidRPr="00192A83">
              <w:rPr>
                <w:sz w:val="24"/>
                <w:szCs w:val="24"/>
                <w14:ligatures w14:val="standardContextual"/>
                <w14:numForm w14:val="oldStyle"/>
              </w:rPr>
              <w:t>Resource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tab has more, and members of the Community are generous</w:t>
            </w:r>
            <w:r w:rsidR="00DC6A56"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in Discussions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with plans and ideas, as are teachers on the AP English Lit Facebook group.</w:t>
            </w:r>
          </w:p>
        </w:tc>
      </w:tr>
    </w:tbl>
    <w:p w14:paraId="4915DBBB" w14:textId="14F47724" w:rsidR="00F65C78" w:rsidRPr="00D16ED6" w:rsidRDefault="00D16ED6" w:rsidP="008B6E1D">
      <w:pPr>
        <w:pStyle w:val="Heading1"/>
        <w:spacing w:before="240" w:after="240"/>
        <w:rPr>
          <w:i/>
          <w:iCs/>
          <w:color w:val="6E2639"/>
        </w:rPr>
      </w:pPr>
      <w:r w:rsidRPr="00D16ED6">
        <w:rPr>
          <w:i/>
          <w:iCs/>
          <w:color w:val="6E2639"/>
        </w:rPr>
        <w:t xml:space="preserve">Some Sources for Instructional Activity Ideas </w:t>
      </w:r>
      <w:r w:rsidRPr="008B6E1D">
        <w:rPr>
          <w:i/>
          <w:iCs/>
          <w:color w:val="6E2639"/>
          <w:sz w:val="24"/>
          <w:szCs w:val="24"/>
        </w:rPr>
        <w:t>(a starter list)</w:t>
      </w:r>
    </w:p>
    <w:tbl>
      <w:tblPr>
        <w:tblStyle w:val="TableGrid"/>
        <w:tblW w:w="9360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360"/>
        <w:gridCol w:w="6120"/>
      </w:tblGrid>
      <w:tr w:rsidR="00D16ED6" w14:paraId="598A6044" w14:textId="77777777" w:rsidTr="00DF770E">
        <w:tc>
          <w:tcPr>
            <w:tcW w:w="2880" w:type="dxa"/>
          </w:tcPr>
          <w:p w14:paraId="223F6EBC" w14:textId="1FFACADD" w:rsidR="00D16ED6" w:rsidRPr="00DF770E" w:rsidRDefault="00D16ED6" w:rsidP="00DC6A56">
            <w:pPr>
              <w:jc w:val="right"/>
              <w:rPr>
                <w:rFonts w:ascii="Cambria" w:hAnsi="Cambria"/>
                <w:i/>
                <w:iCs/>
                <w:sz w:val="23"/>
                <w:szCs w:val="23"/>
              </w:rPr>
            </w:pPr>
            <w:r w:rsidRPr="00DF770E">
              <w:rPr>
                <w:rFonts w:ascii="Cambria" w:hAnsi="Cambria"/>
                <w:i/>
                <w:iCs/>
                <w:sz w:val="23"/>
                <w:szCs w:val="23"/>
              </w:rPr>
              <w:t>Professional Organizations</w:t>
            </w:r>
            <w:r w:rsidR="00DF770E" w:rsidRPr="00DF770E">
              <w:rPr>
                <w:rFonts w:ascii="Cambria" w:hAnsi="Cambria"/>
                <w:i/>
                <w:iCs/>
                <w:sz w:val="23"/>
                <w:szCs w:val="23"/>
              </w:rPr>
              <w:br/>
              <w:t>&amp; Publications</w:t>
            </w:r>
          </w:p>
        </w:tc>
        <w:tc>
          <w:tcPr>
            <w:tcW w:w="6480" w:type="dxa"/>
            <w:gridSpan w:val="2"/>
          </w:tcPr>
          <w:p w14:paraId="7687F9E3" w14:textId="57214A97" w:rsidR="00D16ED6" w:rsidRDefault="00D16ED6">
            <w:r>
              <w:t xml:space="preserve">National Council of Teachers of </w:t>
            </w:r>
            <w:r w:rsidR="00E802DB">
              <w:t>English</w:t>
            </w:r>
            <w:r w:rsidR="00DF770E">
              <w:t xml:space="preserve">  ·  </w:t>
            </w:r>
            <w:r w:rsidR="00DF770E">
              <w:t xml:space="preserve"> </w:t>
            </w:r>
            <w:r w:rsidR="00DF770E">
              <w:t>Edutopia</w:t>
            </w:r>
            <w:r w:rsidR="00DF770E">
              <w:br/>
            </w:r>
            <w:r>
              <w:t>International Literacy Association</w:t>
            </w:r>
            <w:r w:rsidR="00DF770E">
              <w:t xml:space="preserve"> </w:t>
            </w:r>
            <w:bookmarkStart w:id="0" w:name="_Hlk43844523"/>
            <w:r w:rsidR="00DF770E">
              <w:t xml:space="preserve">  · </w:t>
            </w:r>
            <w:bookmarkEnd w:id="0"/>
            <w:r w:rsidR="00DF770E">
              <w:t>Teaching Tolerance</w:t>
            </w:r>
            <w:r w:rsidR="00E17B3C">
              <w:br/>
            </w:r>
            <w:r>
              <w:t>American Library Association</w:t>
            </w:r>
            <w:r w:rsidR="00DF770E">
              <w:t xml:space="preserve">  ·  NY Times Learning Network</w:t>
            </w:r>
          </w:p>
        </w:tc>
      </w:tr>
      <w:tr w:rsidR="00D16ED6" w14:paraId="32D1FF34" w14:textId="77777777" w:rsidTr="00DF770E">
        <w:tc>
          <w:tcPr>
            <w:tcW w:w="2880" w:type="dxa"/>
          </w:tcPr>
          <w:p w14:paraId="2C9BF2A3" w14:textId="69943314" w:rsidR="00D16ED6" w:rsidRPr="00DF770E" w:rsidRDefault="00D16ED6" w:rsidP="00DC6A56">
            <w:pPr>
              <w:jc w:val="right"/>
              <w:rPr>
                <w:rFonts w:ascii="Cambria" w:hAnsi="Cambria"/>
                <w:i/>
                <w:iCs/>
                <w:sz w:val="23"/>
                <w:szCs w:val="23"/>
              </w:rPr>
            </w:pPr>
            <w:r w:rsidRPr="00DF770E">
              <w:rPr>
                <w:rFonts w:ascii="Cambria" w:hAnsi="Cambria"/>
                <w:i/>
                <w:iCs/>
                <w:sz w:val="23"/>
                <w:szCs w:val="23"/>
              </w:rPr>
              <w:t>Libraries</w:t>
            </w:r>
            <w:r w:rsidR="00DF770E">
              <w:rPr>
                <w:rFonts w:ascii="Cambria" w:hAnsi="Cambria"/>
                <w:i/>
                <w:iCs/>
                <w:sz w:val="23"/>
                <w:szCs w:val="23"/>
              </w:rPr>
              <w:t xml:space="preserve">, </w:t>
            </w:r>
            <w:r w:rsidR="00DF770E" w:rsidRPr="00DF770E">
              <w:rPr>
                <w:rFonts w:ascii="Cambria" w:hAnsi="Cambria"/>
                <w:i/>
                <w:iCs/>
                <w:sz w:val="23"/>
                <w:szCs w:val="23"/>
              </w:rPr>
              <w:t>Museums</w:t>
            </w:r>
            <w:r w:rsidR="00DF770E">
              <w:rPr>
                <w:rFonts w:ascii="Cambria" w:hAnsi="Cambria"/>
                <w:i/>
                <w:iCs/>
                <w:sz w:val="23"/>
                <w:szCs w:val="23"/>
              </w:rPr>
              <w:t>,</w:t>
            </w:r>
            <w:r w:rsidR="00DF770E">
              <w:rPr>
                <w:rFonts w:ascii="Cambria" w:hAnsi="Cambria"/>
                <w:i/>
                <w:iCs/>
                <w:sz w:val="23"/>
                <w:szCs w:val="23"/>
              </w:rPr>
              <w:br/>
              <w:t>&amp; Television Networks</w:t>
            </w:r>
          </w:p>
        </w:tc>
        <w:tc>
          <w:tcPr>
            <w:tcW w:w="6480" w:type="dxa"/>
            <w:gridSpan w:val="2"/>
          </w:tcPr>
          <w:p w14:paraId="75B81A33" w14:textId="2CB998B1" w:rsidR="00D16ED6" w:rsidRDefault="00D16ED6">
            <w:r>
              <w:t>The Library of Congress</w:t>
            </w:r>
            <w:bookmarkStart w:id="1" w:name="_Hlk43846780"/>
            <w:r>
              <w:t xml:space="preserve"> </w:t>
            </w:r>
            <w:r w:rsidR="00522824">
              <w:t xml:space="preserve"> · </w:t>
            </w:r>
            <w:bookmarkEnd w:id="1"/>
            <w:r>
              <w:t>Folger Shakespeare Library</w:t>
            </w:r>
            <w:r w:rsidR="00DF770E">
              <w:br/>
            </w:r>
            <w:r w:rsidR="00DF770E">
              <w:t>Smithsonian Institution  · The British Museum</w:t>
            </w:r>
            <w:r w:rsidR="00E802DB">
              <w:br/>
            </w:r>
            <w:r>
              <w:t>the British Library</w:t>
            </w:r>
            <w:r w:rsidR="00192A83">
              <w:t xml:space="preserve">  ·The Huntington Library</w:t>
            </w:r>
            <w:r w:rsidR="00163ABB">
              <w:t xml:space="preserve">  ·  </w:t>
            </w:r>
            <w:r w:rsidR="00163ABB">
              <w:t>PBS Learning Media</w:t>
            </w:r>
          </w:p>
        </w:tc>
      </w:tr>
      <w:tr w:rsidR="00D16ED6" w14:paraId="35C55448" w14:textId="77777777" w:rsidTr="00163ABB">
        <w:tc>
          <w:tcPr>
            <w:tcW w:w="3240" w:type="dxa"/>
            <w:gridSpan w:val="2"/>
          </w:tcPr>
          <w:p w14:paraId="5DC01192" w14:textId="3A2FFA15" w:rsidR="00D16ED6" w:rsidRPr="008B6E1D" w:rsidRDefault="00D16ED6" w:rsidP="00DC6A56">
            <w:pPr>
              <w:jc w:val="right"/>
              <w:rPr>
                <w:rFonts w:ascii="Cambria" w:hAnsi="Cambria"/>
                <w:i/>
                <w:iCs/>
                <w:sz w:val="24"/>
                <w:szCs w:val="24"/>
              </w:rPr>
            </w:pPr>
            <w:r w:rsidRPr="008B6E1D">
              <w:rPr>
                <w:rFonts w:ascii="Cambria" w:hAnsi="Cambria"/>
                <w:i/>
                <w:iCs/>
                <w:sz w:val="24"/>
                <w:szCs w:val="24"/>
              </w:rPr>
              <w:lastRenderedPageBreak/>
              <w:t>Museums</w:t>
            </w:r>
          </w:p>
        </w:tc>
        <w:tc>
          <w:tcPr>
            <w:tcW w:w="6120" w:type="dxa"/>
          </w:tcPr>
          <w:p w14:paraId="2C6EE7F4" w14:textId="24E6006F" w:rsidR="00D16ED6" w:rsidRDefault="00D16ED6"/>
        </w:tc>
      </w:tr>
    </w:tbl>
    <w:p w14:paraId="15221A19" w14:textId="77777777" w:rsidR="00D16ED6" w:rsidRDefault="00D16ED6"/>
    <w:sectPr w:rsidR="00D16ED6" w:rsidSect="00DC6A56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LT Pro">
    <w:panose1 w:val="020B0504020202020204"/>
    <w:charset w:val="00"/>
    <w:family w:val="swiss"/>
    <w:pitch w:val="variable"/>
    <w:sig w:usb0="A00002AF" w:usb1="5000204A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330"/>
    <w:rsid w:val="00013F1C"/>
    <w:rsid w:val="000B0810"/>
    <w:rsid w:val="000B0829"/>
    <w:rsid w:val="000B1224"/>
    <w:rsid w:val="000D5D2C"/>
    <w:rsid w:val="0012206E"/>
    <w:rsid w:val="00163ABB"/>
    <w:rsid w:val="00192A83"/>
    <w:rsid w:val="001E5683"/>
    <w:rsid w:val="001F08B7"/>
    <w:rsid w:val="002211D7"/>
    <w:rsid w:val="00232714"/>
    <w:rsid w:val="00283855"/>
    <w:rsid w:val="002A2462"/>
    <w:rsid w:val="002A6C93"/>
    <w:rsid w:val="002B3518"/>
    <w:rsid w:val="002B36E0"/>
    <w:rsid w:val="002E778D"/>
    <w:rsid w:val="00314FB0"/>
    <w:rsid w:val="003508AC"/>
    <w:rsid w:val="00395009"/>
    <w:rsid w:val="003A6959"/>
    <w:rsid w:val="003D3C65"/>
    <w:rsid w:val="003E36E1"/>
    <w:rsid w:val="00415F00"/>
    <w:rsid w:val="0044009B"/>
    <w:rsid w:val="0047499B"/>
    <w:rsid w:val="00485574"/>
    <w:rsid w:val="00507BAA"/>
    <w:rsid w:val="00522824"/>
    <w:rsid w:val="00564A46"/>
    <w:rsid w:val="0059073C"/>
    <w:rsid w:val="005B03A8"/>
    <w:rsid w:val="005B2261"/>
    <w:rsid w:val="005E15C1"/>
    <w:rsid w:val="005E2F44"/>
    <w:rsid w:val="0061099B"/>
    <w:rsid w:val="00614143"/>
    <w:rsid w:val="00620187"/>
    <w:rsid w:val="0064387C"/>
    <w:rsid w:val="00652FCE"/>
    <w:rsid w:val="006908AA"/>
    <w:rsid w:val="006934E0"/>
    <w:rsid w:val="006939CC"/>
    <w:rsid w:val="006B542E"/>
    <w:rsid w:val="00775BE5"/>
    <w:rsid w:val="007A2061"/>
    <w:rsid w:val="007D2788"/>
    <w:rsid w:val="007F5CDC"/>
    <w:rsid w:val="00804520"/>
    <w:rsid w:val="00860659"/>
    <w:rsid w:val="00862769"/>
    <w:rsid w:val="00885A38"/>
    <w:rsid w:val="00892C3E"/>
    <w:rsid w:val="008B6E1D"/>
    <w:rsid w:val="008D7235"/>
    <w:rsid w:val="00926552"/>
    <w:rsid w:val="009452CA"/>
    <w:rsid w:val="00986464"/>
    <w:rsid w:val="009C53D1"/>
    <w:rsid w:val="009C5636"/>
    <w:rsid w:val="009E3637"/>
    <w:rsid w:val="009E58C4"/>
    <w:rsid w:val="009F00EB"/>
    <w:rsid w:val="00A04FD8"/>
    <w:rsid w:val="00A11036"/>
    <w:rsid w:val="00A1325F"/>
    <w:rsid w:val="00A24413"/>
    <w:rsid w:val="00A43111"/>
    <w:rsid w:val="00AC3CF0"/>
    <w:rsid w:val="00AF2736"/>
    <w:rsid w:val="00B021B5"/>
    <w:rsid w:val="00B231CD"/>
    <w:rsid w:val="00B47D7E"/>
    <w:rsid w:val="00B51BE6"/>
    <w:rsid w:val="00B648E4"/>
    <w:rsid w:val="00B670B1"/>
    <w:rsid w:val="00B841C2"/>
    <w:rsid w:val="00B84AE0"/>
    <w:rsid w:val="00B94B7E"/>
    <w:rsid w:val="00BF127A"/>
    <w:rsid w:val="00C363AF"/>
    <w:rsid w:val="00C37F97"/>
    <w:rsid w:val="00C41A9F"/>
    <w:rsid w:val="00C4499C"/>
    <w:rsid w:val="00C83543"/>
    <w:rsid w:val="00CB0330"/>
    <w:rsid w:val="00CF7BED"/>
    <w:rsid w:val="00D16ED6"/>
    <w:rsid w:val="00D56019"/>
    <w:rsid w:val="00D76046"/>
    <w:rsid w:val="00D779AB"/>
    <w:rsid w:val="00DA7D5B"/>
    <w:rsid w:val="00DC6A56"/>
    <w:rsid w:val="00DE48AC"/>
    <w:rsid w:val="00DF6297"/>
    <w:rsid w:val="00DF6DFE"/>
    <w:rsid w:val="00DF770E"/>
    <w:rsid w:val="00E0310A"/>
    <w:rsid w:val="00E05963"/>
    <w:rsid w:val="00E1501A"/>
    <w:rsid w:val="00E1656D"/>
    <w:rsid w:val="00E17B3C"/>
    <w:rsid w:val="00E30F9F"/>
    <w:rsid w:val="00E643E0"/>
    <w:rsid w:val="00E802DB"/>
    <w:rsid w:val="00E86860"/>
    <w:rsid w:val="00EB37C5"/>
    <w:rsid w:val="00EF66CE"/>
    <w:rsid w:val="00F1635D"/>
    <w:rsid w:val="00F378FC"/>
    <w:rsid w:val="00F65C78"/>
    <w:rsid w:val="00F7185A"/>
    <w:rsid w:val="00F71FD8"/>
    <w:rsid w:val="00F7691E"/>
    <w:rsid w:val="00FF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50F47"/>
  <w15:chartTrackingRefBased/>
  <w15:docId w15:val="{F6FCEAEC-D539-4C1C-89B3-606BAF4B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959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B36E0"/>
    <w:pPr>
      <w:keepNext/>
      <w:keepLines/>
      <w:spacing w:after="240"/>
    </w:pPr>
    <w:rPr>
      <w:rFonts w:ascii="Cambria" w:hAnsi="Cambria"/>
      <w:color w:val="800000"/>
      <w:sz w:val="32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2B36E0"/>
    <w:rPr>
      <w:rFonts w:ascii="Cambria" w:hAnsi="Cambria"/>
      <w:color w:val="800000"/>
      <w:sz w:val="32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A43111"/>
    <w:pPr>
      <w:spacing w:before="120"/>
      <w:ind w:left="36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A43111"/>
    <w:rPr>
      <w:rFonts w:ascii="Cambria" w:hAnsi="Cambria"/>
      <w:i/>
      <w:color w:val="595959" w:themeColor="text1" w:themeTint="A6"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009B"/>
    <w:pPr>
      <w:numPr>
        <w:ilvl w:val="1"/>
      </w:numPr>
      <w:spacing w:after="360"/>
    </w:pPr>
    <w:rPr>
      <w:rFonts w:ascii="Cambria" w:eastAsiaTheme="minorEastAsia" w:hAnsi="Cambria"/>
      <w:i/>
      <w:color w:val="C00000"/>
      <w:sz w:val="28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44009B"/>
    <w:rPr>
      <w:rFonts w:ascii="Cambria" w:eastAsiaTheme="minorEastAsia" w:hAnsi="Cambria"/>
      <w:i/>
      <w:color w:val="C00000"/>
      <w:sz w:val="28"/>
      <w:lang w:val="en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620187"/>
    <w:rPr>
      <w:rFonts w:ascii="Cambria" w:hAnsi="Cambria" w:cs="Calibri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620187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table" w:styleId="TableGrid">
    <w:name w:val="Table Grid"/>
    <w:basedOn w:val="TableNormal"/>
    <w:uiPriority w:val="39"/>
    <w:rsid w:val="00F65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2</cp:revision>
  <cp:lastPrinted>2020-06-24T04:30:00Z</cp:lastPrinted>
  <dcterms:created xsi:type="dcterms:W3CDTF">2020-06-24T06:23:00Z</dcterms:created>
  <dcterms:modified xsi:type="dcterms:W3CDTF">2020-06-24T06:23:00Z</dcterms:modified>
</cp:coreProperties>
</file>